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61" w:rsidRPr="00F04B61" w:rsidRDefault="00F04B61" w:rsidP="00F04B61">
      <w:pPr>
        <w:pStyle w:val="110"/>
        <w:spacing w:after="240" w:afterAutospacing="0"/>
        <w:ind w:left="-993"/>
        <w:jc w:val="center"/>
        <w:rPr>
          <w:rFonts w:ascii="Times New Roman" w:hAnsi="Times New Roman" w:cs="Times New Roman"/>
        </w:rPr>
      </w:pPr>
      <w:r w:rsidRPr="00F04B61">
        <w:rPr>
          <w:rFonts w:ascii="Times New Roman" w:hAnsi="Times New Roman" w:cs="Times New Roman"/>
        </w:rPr>
        <w:t>ПРАВИТЕЛЬСТВО РОССИЙСКОЙ ФЕДЕРАЦИИ</w:t>
      </w:r>
      <w:r w:rsidRPr="00F04B61">
        <w:rPr>
          <w:rFonts w:ascii="Times New Roman" w:hAnsi="Times New Roman" w:cs="Times New Roman"/>
        </w:rPr>
        <w:br/>
      </w:r>
      <w:r w:rsidRPr="00F04B61">
        <w:rPr>
          <w:rFonts w:ascii="Times New Roman" w:hAnsi="Times New Roman" w:cs="Times New Roman"/>
        </w:rPr>
        <w:br/>
        <w:t>ПОСТАНОВЛЕНИЕ</w:t>
      </w:r>
      <w:r w:rsidRPr="00F04B61">
        <w:rPr>
          <w:rFonts w:ascii="Times New Roman" w:hAnsi="Times New Roman" w:cs="Times New Roman"/>
        </w:rPr>
        <w:br/>
        <w:t>от 19 марта 2001 г. N 209</w:t>
      </w:r>
      <w:r w:rsidRPr="00F04B61">
        <w:rPr>
          <w:rFonts w:ascii="Times New Roman" w:hAnsi="Times New Roman" w:cs="Times New Roman"/>
        </w:rPr>
        <w:br/>
      </w:r>
      <w:r w:rsidRPr="00F04B61">
        <w:rPr>
          <w:rFonts w:ascii="Times New Roman" w:hAnsi="Times New Roman" w:cs="Times New Roman"/>
        </w:rPr>
        <w:br/>
        <w:t>ОБ УТВЕРЖДЕНИИ ПОЛОЖЕНИЯ</w:t>
      </w:r>
      <w:r w:rsidRPr="00F04B61">
        <w:rPr>
          <w:rFonts w:ascii="Times New Roman" w:hAnsi="Times New Roman" w:cs="Times New Roman"/>
        </w:rPr>
        <w:br/>
        <w:t>О ЛИЦЕНЗИРОВАНИИ ДЕЯТЕЛЬНОСТИ ПО ПРОИЗВОДСТВУ</w:t>
      </w:r>
      <w:r w:rsidRPr="00F04B61">
        <w:rPr>
          <w:rFonts w:ascii="Times New Roman" w:hAnsi="Times New Roman" w:cs="Times New Roman"/>
        </w:rPr>
        <w:br/>
        <w:t>БОЕПРИПАСОВ</w:t>
      </w:r>
    </w:p>
    <w:p w:rsidR="00F04B61" w:rsidRPr="00F04B61" w:rsidRDefault="00F04B61" w:rsidP="00F04B61">
      <w:pPr>
        <w:pStyle w:val="110"/>
        <w:spacing w:after="240" w:afterAutospacing="0"/>
        <w:ind w:left="-993"/>
        <w:rPr>
          <w:rFonts w:ascii="Times New Roman" w:hAnsi="Times New Roman" w:cs="Times New Roman"/>
        </w:rPr>
      </w:pPr>
      <w:r w:rsidRPr="00F04B61">
        <w:rPr>
          <w:rFonts w:ascii="Times New Roman" w:hAnsi="Times New Roman" w:cs="Times New Roman"/>
        </w:rPr>
        <w:t xml:space="preserve">Правительство Российской Федерации постановляет: </w:t>
      </w:r>
      <w:r w:rsidRPr="00F04B61">
        <w:rPr>
          <w:rFonts w:ascii="Times New Roman" w:hAnsi="Times New Roman" w:cs="Times New Roman"/>
        </w:rPr>
        <w:br/>
        <w:t xml:space="preserve">1. Утвердить прилагаемое Положение о лицензировании деятельности по производству боеприпасов. </w:t>
      </w:r>
      <w:r w:rsidRPr="00F04B61">
        <w:rPr>
          <w:rFonts w:ascii="Times New Roman" w:hAnsi="Times New Roman" w:cs="Times New Roman"/>
        </w:rPr>
        <w:br/>
        <w:t xml:space="preserve">2. </w:t>
      </w:r>
      <w:proofErr w:type="gramStart"/>
      <w:r w:rsidRPr="00F04B61">
        <w:rPr>
          <w:rFonts w:ascii="Times New Roman" w:hAnsi="Times New Roman" w:cs="Times New Roman"/>
        </w:rPr>
        <w:t>Лицензии, выданные на основании Положения о лицензировании деятельности по разработке, производству и утилизации вооружения, военной техники и боеприпасов, утвержденного Постановлением Правительства Российской Федерации от 27 марта 1998 г. N 358 (Собрание законодательства Российской Федерации, 1998, N 14, ст. 1591), сохраняют свою силу до окончания срока их действия, при этом надзорные функции осуществляются в соответствии с Положением, указанным в пункте 1</w:t>
      </w:r>
      <w:proofErr w:type="gramEnd"/>
      <w:r w:rsidRPr="00F04B61">
        <w:rPr>
          <w:rFonts w:ascii="Times New Roman" w:hAnsi="Times New Roman" w:cs="Times New Roman"/>
        </w:rPr>
        <w:t xml:space="preserve"> настоящего Постановления. </w:t>
      </w:r>
    </w:p>
    <w:p w:rsidR="00F04B61" w:rsidRPr="00F04B61" w:rsidRDefault="00F04B61" w:rsidP="00F04B61">
      <w:pPr>
        <w:pStyle w:val="110"/>
        <w:spacing w:after="240" w:afterAutospacing="0"/>
        <w:ind w:left="-993"/>
        <w:rPr>
          <w:rFonts w:ascii="Times New Roman" w:hAnsi="Times New Roman" w:cs="Times New Roman"/>
        </w:rPr>
      </w:pPr>
      <w:r w:rsidRPr="00F04B61">
        <w:rPr>
          <w:rFonts w:ascii="Times New Roman" w:hAnsi="Times New Roman" w:cs="Times New Roman"/>
        </w:rPr>
        <w:t>Председатель Правительства</w:t>
      </w:r>
      <w:r w:rsidRPr="00F04B61">
        <w:rPr>
          <w:rFonts w:ascii="Times New Roman" w:hAnsi="Times New Roman" w:cs="Times New Roman"/>
        </w:rPr>
        <w:br/>
        <w:t>Российской Федерации</w:t>
      </w:r>
      <w:r w:rsidRPr="00F04B61">
        <w:rPr>
          <w:rFonts w:ascii="Times New Roman" w:hAnsi="Times New Roman" w:cs="Times New Roman"/>
        </w:rPr>
        <w:br/>
        <w:t>М.КАСЬЯНОВ</w:t>
      </w:r>
      <w:r w:rsidRPr="00F04B61">
        <w:rPr>
          <w:rFonts w:ascii="Times New Roman" w:hAnsi="Times New Roman" w:cs="Times New Roman"/>
        </w:rPr>
        <w:br/>
      </w:r>
      <w:r w:rsidRPr="00F04B61">
        <w:rPr>
          <w:rFonts w:ascii="Times New Roman" w:hAnsi="Times New Roman" w:cs="Times New Roman"/>
        </w:rPr>
        <w:br/>
        <w:t>Утверждено</w:t>
      </w:r>
      <w:r w:rsidRPr="00F04B61">
        <w:rPr>
          <w:rFonts w:ascii="Times New Roman" w:hAnsi="Times New Roman" w:cs="Times New Roman"/>
        </w:rPr>
        <w:br/>
        <w:t>Постановлением Правительства</w:t>
      </w:r>
      <w:r w:rsidRPr="00F04B61">
        <w:rPr>
          <w:rFonts w:ascii="Times New Roman" w:hAnsi="Times New Roman" w:cs="Times New Roman"/>
        </w:rPr>
        <w:br/>
        <w:t>Российской Федерации</w:t>
      </w:r>
      <w:r w:rsidRPr="00F04B61">
        <w:rPr>
          <w:rFonts w:ascii="Times New Roman" w:hAnsi="Times New Roman" w:cs="Times New Roman"/>
        </w:rPr>
        <w:br/>
        <w:t>от 19 марта 2001 г. N 209</w:t>
      </w:r>
      <w:r w:rsidRPr="00F04B61">
        <w:rPr>
          <w:rFonts w:ascii="Times New Roman" w:hAnsi="Times New Roman" w:cs="Times New Roman"/>
        </w:rPr>
        <w:br/>
      </w:r>
    </w:p>
    <w:p w:rsidR="00F04B61" w:rsidRPr="00F04B61" w:rsidRDefault="00F04B61" w:rsidP="00F04B61">
      <w:pPr>
        <w:pStyle w:val="110"/>
        <w:ind w:left="-993"/>
        <w:jc w:val="center"/>
        <w:rPr>
          <w:rFonts w:ascii="Times New Roman" w:hAnsi="Times New Roman" w:cs="Times New Roman"/>
        </w:rPr>
      </w:pPr>
      <w:r w:rsidRPr="00F04B61">
        <w:rPr>
          <w:rFonts w:ascii="Times New Roman" w:hAnsi="Times New Roman" w:cs="Times New Roman"/>
        </w:rPr>
        <w:t>ПОЛОЖЕНИЕ</w:t>
      </w:r>
      <w:r w:rsidRPr="00F04B61">
        <w:rPr>
          <w:rFonts w:ascii="Times New Roman" w:hAnsi="Times New Roman" w:cs="Times New Roman"/>
        </w:rPr>
        <w:br/>
        <w:t>О ЛИЦЕНЗИРОВАНИИ ДЕЯТЕЛЬНОСТИ ПО ПРОИЗВОДСТВУ</w:t>
      </w:r>
      <w:r w:rsidRPr="00F04B61">
        <w:rPr>
          <w:rFonts w:ascii="Times New Roman" w:hAnsi="Times New Roman" w:cs="Times New Roman"/>
        </w:rPr>
        <w:br/>
        <w:t>БОЕПРИПАСОВ</w:t>
      </w:r>
    </w:p>
    <w:p w:rsidR="00F04B61" w:rsidRPr="00F04B61" w:rsidRDefault="00F04B61" w:rsidP="00F04B61">
      <w:pPr>
        <w:pStyle w:val="a3"/>
        <w:ind w:left="-993"/>
      </w:pPr>
      <w:r w:rsidRPr="00F04B61">
        <w:rPr>
          <w:rStyle w:val="1101"/>
          <w:rFonts w:ascii="Times New Roman" w:hAnsi="Times New Roman" w:cs="Times New Roman"/>
        </w:rPr>
        <w:t xml:space="preserve">1. Настоящее Положение устанавливает порядок лицензирования деятельности по производству боеприпасов, осуществляемой юридическими лицами независимо от их организационно - правовой формы, за исключением производства ядерных боеприпасов и ядерных энергетических установок военного назначения.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Действие настоящего Положения не распространяется на организации федеральных органов исполнительной власти, в ведении которых находятся войска и вооруженные формирования.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2. В ходе осуществления деятельности по производству боеприпасов, включая комплектующие элементы (пиротехнические изделия, средства инициирования, взрывания, взрывчатые вещества, пороха, твердые ракетные топлива и изделия на их основе), выполняются следующие работы и услуги: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научно - исследовательские и опытно - конструкторские работы;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разработка технологий производства;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разработка и производство </w:t>
      </w:r>
      <w:proofErr w:type="gramStart"/>
      <w:r w:rsidRPr="00F04B61">
        <w:rPr>
          <w:rStyle w:val="1101"/>
          <w:rFonts w:ascii="Times New Roman" w:hAnsi="Times New Roman" w:cs="Times New Roman"/>
        </w:rPr>
        <w:t>учебно - тренировочных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средств;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г) разработка и изготовление специального и технологического оборудования;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д) производство боеприпасов и комплектующих элементов;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е) модернизация боеприпасов и комплектующих элементов;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ж) авторский надзор, техническое обслуживание, гарантийный надзор в процессе хранения и эксплуатации боеприпасов и комплектующих элементов.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3. Лицензирование деятельности по производству боеприпасов осуществляет Российское агентство </w:t>
      </w:r>
      <w:r w:rsidRPr="00F04B61">
        <w:rPr>
          <w:rStyle w:val="1101"/>
          <w:rFonts w:ascii="Times New Roman" w:hAnsi="Times New Roman" w:cs="Times New Roman"/>
        </w:rPr>
        <w:lastRenderedPageBreak/>
        <w:t xml:space="preserve">по боеприпасам (далее именуется - лицензирующий орган).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4.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Для получения лицензии соискатель лицензии представляет в лицензирующий орган следующие документы: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заявление о выдаче лицензии, согласованное с государственным заказчиком, с указанием: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наименования, организационно - правовой формы и места нахождения юридического лица (в том числе мест нахождения территориально обособленных объектов, на которых будет осуществляться заявленный вид деятельности), наименования банка и номера расчетного счета в банке;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лицензируемого вида деятельности, работ и услуг, предусмотренных настоящим Положением, и наименования производимой продукции;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срока, в течение которого будет осуществляться заявленный вид деятельности;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копии учредительных документов и копия свидетельства о государственной регистрации соискателя лицензии в качестве юридического лица;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в) копия справки о постановке соискателя лицензии на учет в налоговом органе с указанием идентификационного номера налогоплательщика;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г) копия письма органа государственной статистики о внесении соискателя лицензии в Единый государственный регистр предприятий и организаций;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д) копия лицензии, предусмотренной статьей 27 Закона Российской Федерации "О государственной тайне" (если осуществление работ не связано с использованием сведений, составляющих государственную тайну, представляется удостоверяющая отсутствие таких сведений справка, согласованная с представителем государственного заказчика);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е) копия лицензии Государственной технической комиссии при Президенте Российской Федерации на осуществление мероприятий и (или) оказание услуг в области защиты государственной тайны, направленных на противодействие иностранным техническим разведкам, или заключение указанной Комиссии об отсутствии сведений, подлежащих защите от средств иностранных технических разведок;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ж) копия сертификата безопасности взрывоопасных производств (в случае отсутствия взрывоопасных производств представляется справка, удостоверяющая отсутствие применения взрывчатых веществ и изделий на их основе, согласованная с представителем государственного заказчика);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з) копия документа, подтверждающего экологическую безопасность заявленного вида деятельности;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и) копия заключения органа Государственной противопожарной </w:t>
      </w:r>
      <w:proofErr w:type="gramStart"/>
      <w:r w:rsidRPr="00F04B61">
        <w:rPr>
          <w:rStyle w:val="1101"/>
          <w:rFonts w:ascii="Times New Roman" w:hAnsi="Times New Roman" w:cs="Times New Roman"/>
        </w:rPr>
        <w:t>службы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о соответствии условий осуществления заявленного вида деятельности требованиям пожарной безопасности; </w:t>
      </w:r>
      <w:r w:rsidRPr="00F04B61">
        <w:br/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к) копия свидетельства о внесении опасных производственных объектов, задействованных при осуществлении заявленного вида деятельности, в государственный реестр опасных производственных объектов и копия договора страхования риска ответственности за причинение вреда при эксплуатации опасного производственного объекта;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л) копия документа, подтверждающего наличие имущества в собственности, хозяйственном ведении или оперативном управлении, копия договора аренды имущества, необходимого для осуществления заявленного вида деятельности;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м) документ, согласованный с представителем государственного заказчика, подтверждающий наличие у соискателя лицензии условий, обеспечивающих сохранность и полный учет производимой продукции;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н) пояснительная записка о работах и услугах, выполняемых в рамках заявленного вида деятельности, видах производимой продукции, наличии профессионально подготовленных специалистов, укомплектованности необходимым производственным оборудованием, наличии соответствующей нормативной документации;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о) документ, подтверждающий внесение платы за рассмотрение лицензирующим органом заявления соискателя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5.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Соискатель лицензии в случае выполнения в рамках заявленного вида деятельности научно - исследовательских работ кроме указанных в пункте 4 настоящего Положения документов дополнительно представляет копию свидетельства о государственной аккредитации научной </w:t>
      </w:r>
      <w:r w:rsidRPr="00F04B61">
        <w:rPr>
          <w:rStyle w:val="1101"/>
          <w:rFonts w:ascii="Times New Roman" w:hAnsi="Times New Roman" w:cs="Times New Roman"/>
        </w:rPr>
        <w:lastRenderedPageBreak/>
        <w:t>организации в соответствии с Федеральным законом "О науке и государственной научно - технической политике".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6.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В </w:t>
      </w:r>
      <w:proofErr w:type="gramStart"/>
      <w:r w:rsidRPr="00F04B61">
        <w:rPr>
          <w:rStyle w:val="1101"/>
          <w:rFonts w:ascii="Times New Roman" w:hAnsi="Times New Roman" w:cs="Times New Roman"/>
        </w:rPr>
        <w:t>случае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если копии документов, указанных в пункте 4 настоящего Положения, не заверены нотариусом, они представляются с предъявлением оригиналов.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 </w:t>
      </w:r>
      <w:proofErr w:type="gramStart"/>
      <w:r w:rsidRPr="00F04B61">
        <w:rPr>
          <w:rStyle w:val="1101"/>
          <w:rFonts w:ascii="Times New Roman" w:hAnsi="Times New Roman" w:cs="Times New Roman"/>
        </w:rPr>
        <w:t>случае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окончания срока действия документов во время действия лицензии эти документы должны быть переоформлены, после чего их оригиналы (копии) представляются в лицензирующий орган.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Требовать от соискателя лицензии представления документов, не предусмотренных настоящим Положением, не допускается.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7. Документы, представленные для получения лицензии, принимаются лицензирующим органом по описи, копия которой направляется (вручается) соискателю лицензии с пометкой о дате их приема.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8.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9. Решение о выдаче или об отказе в выдаче лицензии принимается лицензирующим органом в срок, не превышающий 30 дней </w:t>
      </w:r>
      <w:proofErr w:type="gramStart"/>
      <w:r w:rsidRPr="00F04B61">
        <w:rPr>
          <w:rStyle w:val="1101"/>
          <w:rFonts w:ascii="Times New Roman" w:hAnsi="Times New Roman" w:cs="Times New Roman"/>
        </w:rPr>
        <w:t>с даты получения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заявления соискателя лицензии со всеми необходимыми документами.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10. Лицензирующий орган в течение 3 дней после принятия соответствующего решения направляет (вручает) соискателю лицензии уведомление в письменной форме о выдаче лицензии с указанием срока уплаты лицензионного сбора либо об отказе в выдаче лицензии с указанием причин отказа.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11.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Основанием для отказа в выдаче лицензии является: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наличие в документах, представленных соискателем лицензии, недостоверной или искаженной информации;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несоответствие деятельности соискателя лицензии лицензионным требованиям и условиям.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12.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Соискатель лицензии имеет право обжаловать решения и действия лицензирующего органа в порядке, установленном законодательством Российской Федерации.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При обжаловании в административном порядке решения лицензирующего органа об отказе в выдаче лицензии соискатель лицензии имеет право требовать проведения независимой экспертизы.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Лицензирующий орган организует независимую экспертизу и привлекает для ее проведения по согласованию с соискателем лицензии независимых экспертов или экспертные организации.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Заключение независимых экспертов или экспертной организации представляется в лицензирующий орган, который обязан в течение 5 дней после его получения уведомить соискателя лицензии о принятом решении.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Независимая экспертиза проводится в срок, не превышающий 30 дней, на основе договора, заключаемого с независимыми экспертами или экспертной организацией, за счет средств соискателя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13. В </w:t>
      </w:r>
      <w:proofErr w:type="gramStart"/>
      <w:r w:rsidRPr="00F04B61">
        <w:rPr>
          <w:rStyle w:val="1101"/>
          <w:rFonts w:ascii="Times New Roman" w:hAnsi="Times New Roman" w:cs="Times New Roman"/>
        </w:rPr>
        <w:t>случае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отказа в выдаче лицензии плата за рассмотрение заявления соискателю лицензии не возвращается.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14. Лицензия выдается на 3 года, если в заявлении о выдаче лицензии не указан меньший срок.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15. Передача лицензии другому юридическому лицу запрещается.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16. Обязательными лицензионными требованиями и условиями при осуществлении лицензиатом заявленного вида деятельности являются соблюдение законодательства Российской Федерации, выполнение требований по защите сведений, составляющих государственную тайну, экологических, санитарно - эпидемиологических, гигиенических, противопожарных норм и правил.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17.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При лицензировании деятельности по производству боеприпасов предъявляются следующие дополнительные лицензионные требования и условия: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а) допуск к работам только профессионально подготовленных специалистов, имеющих соответствующую квалификацию;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б) оборудование зданий и сооружений противопожарными средствами, наличие охраняемых складских помещений и хранилищ, обеспечивающих сохранность расходных материалов, комплектующих изделий, контрольно - проверочной аппаратуры, технологической оснастки и оборудования, а также наличие охраняемых участков для работы с применением взрывоопасных технологий;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обеспечение производств необходимой нормативно - технической документацией, инструментом, </w:t>
      </w:r>
      <w:r w:rsidRPr="00F04B61">
        <w:rPr>
          <w:rStyle w:val="1101"/>
          <w:rFonts w:ascii="Times New Roman" w:hAnsi="Times New Roman" w:cs="Times New Roman"/>
        </w:rPr>
        <w:lastRenderedPageBreak/>
        <w:t xml:space="preserve">контрольно - проверочной аппаратурой;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г) обеспечение соответствия условий труда нормативным требованиям;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д) наличие в договорах, заключенных лицензиатом - головным исполнителем (исполнителем) государственного оборонного заказа со сторонними организациями, положений об ответственности сторон за производство и эксплуатацию продукции и условий сопровождения продукции (гарантийный надзор, устранение дефектов, передача документации при прекращении деятельности лицензиата).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18. Выдача лицензии производится в течение 3 дней после представления лицензиатом документа, подтверждающего уплату лицензионного сбора.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19. Лицензия подписывается руководителем лицензирующего органа (в случае его отсутствия - его заместителем) и заверяется гербовой печатью.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В лицензии указывается: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наименование лицензирующего органа;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наименование и место нахождения лицензиата (в том числе места нахождения территориально обособленных объектов, на которых осуществляется лицензируемый вид деятельности);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идентификационный код по Общероссийскому классификатору предприятий и организаций (ОКПО);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г) идентификационный номер налогоплательщика;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д) лицензируемый вид деятельности, работы и услуги,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выполняемые в рамках этого вида деятельности, и наименование производимой продукции;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е) срок, в течение которого будет осуществляться лицензируемый вид деятельности;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ж) регистрационный номер и дата принятия решения о выдаче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20. При осуществлении лицензируемого вида деятельности на нескольких территориально обособленных объектах в лицензии указываются все эти объекты, а лицензиату одновременно с лицензией выдается необходимое количество заверенных лицензирующим органом копий лицензии соответственно числу указанных объектов. Плата за выдачу копий не взимается.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21. Срок действия лицензии может быть продлен до 5 лет.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Продление срока действия лицензии производится по заявлению лицензиата, согласованному с государственным заказчиком, при условии выполнения им лицензионных условий и требований.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По истечении продленного срока действия лицензии лицензиат оформляет необходимые документы на получение новой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 </w:t>
      </w:r>
      <w:proofErr w:type="gramStart"/>
      <w:r w:rsidRPr="00F04B61">
        <w:rPr>
          <w:rStyle w:val="1101"/>
          <w:rFonts w:ascii="Times New Roman" w:hAnsi="Times New Roman" w:cs="Times New Roman"/>
        </w:rPr>
        <w:t>продлении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срока действия лицензии может быть отказано в случае, если за время действия лицензии зафиксированы нарушения лицензионных требований и условий.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22. В </w:t>
      </w:r>
      <w:proofErr w:type="gramStart"/>
      <w:r w:rsidRPr="00F04B61">
        <w:rPr>
          <w:rStyle w:val="1101"/>
          <w:rFonts w:ascii="Times New Roman" w:hAnsi="Times New Roman" w:cs="Times New Roman"/>
        </w:rPr>
        <w:t>случае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преобразования юридического лица, изменения его наименования или места нахождения лицензиат или его правопреемник обязан в 15-дневный срок подать заявление о переоформлении лицензии с приложением соответствующих документов, подтверждающих указанные изменения.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23. При переоформлении лицензии лицензирующий орган вносит соответствующие изменения в реестр лицензий.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24. Переоформление лицензии осуществляется в течение 5 дней </w:t>
      </w:r>
      <w:proofErr w:type="gramStart"/>
      <w:r w:rsidRPr="00F04B61">
        <w:rPr>
          <w:rStyle w:val="1101"/>
          <w:rFonts w:ascii="Times New Roman" w:hAnsi="Times New Roman" w:cs="Times New Roman"/>
        </w:rPr>
        <w:t>с даты подачи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лицензиатом соответствующего заявления.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До переоформления лицензии лицензиат осуществляет деятельность на основании ранее выданной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25. Надзор за соблюдением лицензиатом лицензионных требований и условий осуществляется лицензирующим органом, государственными надзорными и контрольными органами в пределах их компетенции в порядке, установленном законодательством Российской Федерации.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26. Лицензирующий орган в пределах своей компетенции имеет право: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проводить проверки деятельности </w:t>
      </w:r>
      <w:proofErr w:type="gramStart"/>
      <w:r w:rsidRPr="00F04B61">
        <w:rPr>
          <w:rStyle w:val="1101"/>
          <w:rFonts w:ascii="Times New Roman" w:hAnsi="Times New Roman" w:cs="Times New Roman"/>
        </w:rPr>
        <w:t>лицензиата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на предмет соответствия осуществляемой лицензиатом деятельности лицензионным требованиям и условиям;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запрашивать у лицензиата необходимые объяснения и справки по вопросам, возникающим при проведении проверок;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составлять на основании результатов проверок акты (протоколы) с указанием конкретных нарушений;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lastRenderedPageBreak/>
        <w:t xml:space="preserve">г) выносить решения, обязывающие лицензиата устранить выявленные нарушения, устанавливать сроки устранения таких нарушений;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д) выносить предупреждение лицензиату;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е) осуществлять иные предусмотренные законодательством Российской Федерации полномочия.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27. Лицензирующий орган не вправе требовать от лицензиата обеспечения при проведении проверок условий, связанных с материальными затратами.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28. Государственные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сообщить лицензирующему органу о выявленных нарушениях и принятых мерах.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29. Лицензиат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обязан: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а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) выполнять лицензионные требования и условия;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обеспечивать условия для проведения лицензирующим органом, государственными надзорными и контрольными органами проверок, в том числе предоставлять необходимую информацию и документы;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своевременно информировать лицензирующий орган о прекращении осуществления заявленного вида деятельности;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г) возвратить в лицензирующий орган лицензию в случае ее аннулирования либо приостановления действия.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30. Лицензирующий орган имеет право приостановить действие лицензии в случае: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- выявления лицензирующим органом, государственными надзорными и контрольными органами, иными органами государственной власти в пределах их компетенции нарушений лицензиатом лицензионных требований и условий, которые могут повлечь за собой нанесение ущерба правам, законным интересам, здоровью граждан, а также обороне страны и безопасности государства;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- невыполнения лицензиатом решений лицензирующего органа, обязывающих лицензиата устранить выявленные нарушения.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31. Лицензия теряет юридическую силу и считается аннулированной: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- в случае неуплаты лицензиатом в течение 3 месяцев лицензионного сбора;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- со дня ликвидации юридического лица или прекращения его деятельности в результате реорганизации, за исключением преобразования.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32. Лицензия может быть аннулирована решением суда на основании заявления лицензирующего органа или органа государственной власти в соответствии с его компетенцией. 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33.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Основанием для аннулирования лицензии является: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обнаружение недостоверных или искаженных данных в документах, представленных для получения лицензии;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неоднократное или грубое нарушение лицензиатом лицензионных требований и условий;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незаконность решения о выдаче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34.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Решение о приостановлении действия лицензии или о направлении в суд заявления об аннулировании лицензии в 3-дневный срок </w:t>
      </w:r>
      <w:proofErr w:type="gramStart"/>
      <w:r w:rsidRPr="00F04B61">
        <w:rPr>
          <w:rStyle w:val="1101"/>
          <w:rFonts w:ascii="Times New Roman" w:hAnsi="Times New Roman" w:cs="Times New Roman"/>
        </w:rPr>
        <w:t>с даты принятия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решения доводится лицензирующим органом до лицензиата в письменной форме с соответствующим обоснованием.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35. Решение о приостановлении действия лицензии может быть обжаловано в порядке, установленном законодательством Российской Федерации.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36. Лицензирующий орган обязан установить срок устранения лицензиатом обстоятельств, повлекших за собой приостановление действия лицензии. Указанный срок не может превышать 6 месяцев.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 </w:t>
      </w:r>
      <w:proofErr w:type="gramStart"/>
      <w:r w:rsidRPr="00F04B61">
        <w:rPr>
          <w:rStyle w:val="1101"/>
          <w:rFonts w:ascii="Times New Roman" w:hAnsi="Times New Roman" w:cs="Times New Roman"/>
        </w:rPr>
        <w:t>случае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если в установленный срок лицензиат не устранил указанные обстоятельства, лицензирующий орган обязан обратиться в суд с заявлением об аннулировании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 </w:t>
      </w:r>
      <w:proofErr w:type="gramStart"/>
      <w:r w:rsidRPr="00F04B61">
        <w:rPr>
          <w:rStyle w:val="1101"/>
          <w:rFonts w:ascii="Times New Roman" w:hAnsi="Times New Roman" w:cs="Times New Roman"/>
        </w:rPr>
        <w:t>случае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устранения лицензиатом обстоятельств, повлекших за собой приостановление действия лицензии, лицензирующий орган обязан в 15-дневный срок принять решение о возобновлении ее действия и в течение 3 дней уведомить о своем решении государственные надзорные и контрольные органы и лицензиата, а также возвратить ему лицензию. Плата при этом не взимается.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lastRenderedPageBreak/>
        <w:t xml:space="preserve">37. Лицензирующий орган ведет реестр лицензий. В </w:t>
      </w:r>
      <w:proofErr w:type="gramStart"/>
      <w:r w:rsidRPr="00F04B61">
        <w:rPr>
          <w:rStyle w:val="1101"/>
          <w:rFonts w:ascii="Times New Roman" w:hAnsi="Times New Roman" w:cs="Times New Roman"/>
        </w:rPr>
        <w:t>реестре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лицензий указываются: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сведения о лицензиате: наименование, организационно - правовая форма, код по Общероссийскому классификатору предприятий и организаций (ОКПО) и место нахождения (в том числе места нахождения территориально обособленных объектов, на которых осуществляется лицензируемый вид деятельности);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сведения о лицензирующем органе; </w:t>
      </w:r>
      <w:r w:rsidRPr="00F04B61">
        <w:br/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в) вид деятельности, на который выдана лицензия, работы и услуги, выполняемые в рамках этого вида деятельности, и наименование производимой продукции;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г) регистрационный номер лицензии и дата принятия решения о выдаче лицензии;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д) срок действия лицензии;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е) сведения о выдаче и переоформлении лицензии;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ж) основания и даты приостановления и возобновления действия лицензии;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з) основание и дата аннулирования лицензии.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38. Информация, содержащаяся в реестре лицензий, является открытой для ознакомления с ней юридических лиц в той части, которая не содержит сведений, составляющих государственную тайну.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Юридические лица по согласованию с государственным заказчиком вправе за плату получить в лицензирующем органе информацию о конкретных лицензиатах в виде выписок из реестра лицензий.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39. По запросам органов государственной власти и органов местного самоуправления информация, содержащаяся в реестре лицензий, предоставляется безвозмездно.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40. Срок предоставления информации, содержащейся в реестре лицензий, не может превышать 3 дня </w:t>
      </w:r>
      <w:proofErr w:type="gramStart"/>
      <w:r w:rsidRPr="00F04B61">
        <w:rPr>
          <w:rStyle w:val="1101"/>
          <w:rFonts w:ascii="Times New Roman" w:hAnsi="Times New Roman" w:cs="Times New Roman"/>
        </w:rPr>
        <w:t>с даты подачи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(регистрации) соответствующего заявления при условии предъявления документа, подтверждающего оплату этой услуги. </w:t>
      </w:r>
      <w:bookmarkStart w:id="0" w:name="_GoBack"/>
      <w:bookmarkEnd w:id="0"/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41. </w:t>
      </w:r>
      <w:proofErr w:type="gramStart"/>
      <w:r w:rsidRPr="00F04B61">
        <w:rPr>
          <w:rStyle w:val="1101"/>
          <w:rFonts w:ascii="Times New Roman" w:hAnsi="Times New Roman" w:cs="Times New Roman"/>
        </w:rPr>
        <w:t xml:space="preserve">С 1 января 2001 г. устанавливаются следующие размеры платы: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а) за рассмотрение заявления соискателя лицензии - 300 рублей;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б) за выдачу лицензии (лицензионный сбор) - 1000 рублей;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в) за переоформление лицензии - 10 рублей;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г) за предоставление содержащейся в реестре лицензий информации об одном лицензиате - 10 рублей.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42.</w:t>
      </w:r>
      <w:proofErr w:type="gramEnd"/>
      <w:r w:rsidRPr="00F04B61">
        <w:rPr>
          <w:rStyle w:val="1101"/>
          <w:rFonts w:ascii="Times New Roman" w:hAnsi="Times New Roman" w:cs="Times New Roman"/>
        </w:rPr>
        <w:t xml:space="preserve"> Средства, внесенные в качестве платы за рассмотрение заявлений, выдачу, переоформление лицензий и предоставление информации, содержащейся в реестре лицензий, поступают в доход федерального бюджета.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43. Финансирование расходов лицензирующего органа, связанных с осуществлением лицензионной деятельности, осуществляется за счет средств, предусмотренных Российскому агентству по боеприпасам на содержание центрального аппарата.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44. За осуществление деятельности без лицензии либо с нарушением лицензионных требований и условий виновные несут ответственность в порядке, установленном законодательством Российской Федерации.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 xml:space="preserve">45. Должностные лица лицензирующего органа несут ответственность за нарушение или ненадлежащее исполнение установленного порядка лицензирования в соответствии с законодательством Российской Федерации. </w:t>
      </w:r>
      <w:r w:rsidRPr="00F04B61">
        <w:br/>
      </w:r>
      <w:r w:rsidRPr="00F04B61">
        <w:rPr>
          <w:rStyle w:val="1101"/>
          <w:rFonts w:ascii="Times New Roman" w:hAnsi="Times New Roman" w:cs="Times New Roman"/>
        </w:rPr>
        <w:t>46. Решения и действия лицензирующего органа могут быть обжалованы в порядке, установленном законодательством Российской Федерации.</w:t>
      </w:r>
      <w:r w:rsidRPr="00F04B61">
        <w:t xml:space="preserve"> </w:t>
      </w:r>
    </w:p>
    <w:p w:rsidR="008A4957" w:rsidRPr="00F04B61" w:rsidRDefault="00F04B61" w:rsidP="00F04B61">
      <w:pPr>
        <w:ind w:left="-993"/>
        <w:rPr>
          <w:rFonts w:ascii="Times New Roman" w:hAnsi="Times New Roman" w:cs="Times New Roman"/>
        </w:rPr>
      </w:pPr>
    </w:p>
    <w:sectPr w:rsidR="008A4957" w:rsidRPr="00F0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1"/>
    <w:rsid w:val="001E33A4"/>
    <w:rsid w:val="00583ABB"/>
    <w:rsid w:val="00F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стиль110"/>
    <w:basedOn w:val="a"/>
    <w:rsid w:val="00F04B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1">
    <w:name w:val="стиль1101"/>
    <w:basedOn w:val="a0"/>
    <w:rsid w:val="00F04B61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стиль110"/>
    <w:basedOn w:val="a"/>
    <w:rsid w:val="00F04B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1">
    <w:name w:val="стиль1101"/>
    <w:basedOn w:val="a0"/>
    <w:rsid w:val="00F04B61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2017-03-16T13:36:00Z</dcterms:created>
  <dcterms:modified xsi:type="dcterms:W3CDTF">2017-03-16T13:37:00Z</dcterms:modified>
</cp:coreProperties>
</file>